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C0" w:rsidRDefault="000C09C0" w:rsidP="000C09C0">
      <w:pPr>
        <w:spacing w:after="0" w:line="240" w:lineRule="auto"/>
        <w:jc w:val="center"/>
        <w:rPr>
          <w:rFonts w:eastAsia="Times New Roman" w:cs="Times New Roman"/>
          <w:b/>
          <w:bCs/>
          <w:szCs w:val="24"/>
          <w:lang w:eastAsia="es-CO"/>
        </w:rPr>
      </w:pPr>
    </w:p>
    <w:p w:rsidR="000C09C0" w:rsidRDefault="000C09C0" w:rsidP="000C09C0">
      <w:pPr>
        <w:spacing w:after="0" w:line="240" w:lineRule="auto"/>
        <w:jc w:val="center"/>
        <w:rPr>
          <w:rFonts w:eastAsia="Times New Roman" w:cs="Times New Roman"/>
          <w:b/>
          <w:bCs/>
          <w:szCs w:val="24"/>
          <w:lang w:eastAsia="es-CO"/>
        </w:rPr>
      </w:pP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Resolución Nº 000028</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28-01-2015</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Ministerio de Agricultura y Desarrollo Rural</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i/>
          <w:iCs/>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i/>
          <w:iCs/>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proofErr w:type="gramStart"/>
      <w:r w:rsidRPr="000C09C0">
        <w:rPr>
          <w:rFonts w:eastAsia="Times New Roman" w:cs="Times New Roman"/>
          <w:i/>
          <w:iCs/>
          <w:szCs w:val="24"/>
          <w:lang w:eastAsia="es-CO"/>
        </w:rPr>
        <w:t>por</w:t>
      </w:r>
      <w:proofErr w:type="gramEnd"/>
      <w:r w:rsidRPr="000C09C0">
        <w:rPr>
          <w:rFonts w:eastAsia="Times New Roman" w:cs="Times New Roman"/>
          <w:i/>
          <w:iCs/>
          <w:szCs w:val="24"/>
          <w:lang w:eastAsia="es-CO"/>
        </w:rPr>
        <w:t xml:space="preserve"> la cual se determinan los valores del ganado bovino correspondientes a la vigencia fiscal del año 2014.</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El Ministro de Agricultura y Desarrollo Rural, en ejercicio de la facultad legal conferida por el artículo 276 del Decreto número 624 de 1989, y</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CONSIDERANDO:</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Que el Decreto número 624 de 1989, por el cual se expide el Estatuto Tributario de los Impuestos Administrados por la Dirección General de Impuestos Nacionales, dispone:</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w:t>
      </w:r>
      <w:hyperlink r:id="rId4" w:tooltip="Estatuto Tributario CETA" w:history="1">
        <w:r w:rsidRPr="000C09C0">
          <w:rPr>
            <w:rFonts w:eastAsia="Times New Roman" w:cs="Times New Roman"/>
            <w:b/>
            <w:bCs/>
            <w:i/>
            <w:iCs/>
            <w:szCs w:val="24"/>
            <w:lang w:eastAsia="es-CO"/>
          </w:rPr>
          <w:t>Artículo 93</w:t>
        </w:r>
      </w:hyperlink>
      <w:r w:rsidRPr="000C09C0">
        <w:rPr>
          <w:rFonts w:eastAsia="Times New Roman" w:cs="Times New Roman"/>
          <w:b/>
          <w:bCs/>
          <w:i/>
          <w:iCs/>
          <w:szCs w:val="24"/>
          <w:lang w:eastAsia="es-CO"/>
        </w:rPr>
        <w:t>. Renta Bruta en Negocio de Ganadería. </w:t>
      </w:r>
      <w:r w:rsidRPr="000C09C0">
        <w:rPr>
          <w:rFonts w:eastAsia="Times New Roman" w:cs="Times New Roman"/>
          <w:i/>
          <w:iCs/>
          <w:szCs w:val="24"/>
          <w:lang w:eastAsia="es-CO"/>
        </w:rPr>
        <w:t>En el negocio de ganadería la renta bruta proveniente de la enajenación de semovientes está constituida por la diferencia entre el precio de enajenación y el costo de los semovientes enajenados”.</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w:t>
      </w:r>
      <w:hyperlink r:id="rId5" w:tooltip="Estatuto Tributario CETA" w:history="1">
        <w:r w:rsidRPr="000C09C0">
          <w:rPr>
            <w:rFonts w:eastAsia="Times New Roman" w:cs="Times New Roman"/>
            <w:b/>
            <w:bCs/>
            <w:i/>
            <w:iCs/>
            <w:szCs w:val="24"/>
            <w:lang w:eastAsia="es-CO"/>
          </w:rPr>
          <w:t>Artículo 94</w:t>
        </w:r>
      </w:hyperlink>
      <w:r w:rsidRPr="000C09C0">
        <w:rPr>
          <w:rFonts w:eastAsia="Times New Roman" w:cs="Times New Roman"/>
          <w:b/>
          <w:bCs/>
          <w:i/>
          <w:iCs/>
          <w:szCs w:val="24"/>
          <w:lang w:eastAsia="es-CO"/>
        </w:rPr>
        <w:t>. Costo del Ganado Vendido. </w:t>
      </w:r>
      <w:r w:rsidRPr="000C09C0">
        <w:rPr>
          <w:rFonts w:eastAsia="Times New Roman" w:cs="Times New Roman"/>
          <w:i/>
          <w:iCs/>
          <w:szCs w:val="24"/>
          <w:lang w:eastAsia="es-CO"/>
        </w:rPr>
        <w:t>El costo del ganado vendido está conformado por el de adquisición si el ganado enajenado se adquirió durante el año gravable o por el valor que figure en el inventario a 31 de diciembre del año inmediatamente anterior, si el ganado enajenado se adquirió en año diferente al de la venta. En este último caso el costo no puede ser inferior al del precio comercial del ganado en 31 de diciembre del año inmediatamente anterior, que en el caso de ganado bovino se determina conforme a lo dispuesto en el </w:t>
      </w:r>
      <w:hyperlink r:id="rId6" w:tooltip="Estatuto Tributario CETA" w:history="1">
        <w:r w:rsidRPr="000C09C0">
          <w:rPr>
            <w:rFonts w:eastAsia="Times New Roman" w:cs="Times New Roman"/>
            <w:i/>
            <w:iCs/>
            <w:szCs w:val="24"/>
            <w:lang w:eastAsia="es-CO"/>
          </w:rPr>
          <w:t>Artículo 276</w:t>
        </w:r>
      </w:hyperlink>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w:t>
      </w:r>
      <w:hyperlink r:id="rId7" w:tooltip="Estatuto Tributario CETA" w:history="1">
        <w:r w:rsidRPr="000C09C0">
          <w:rPr>
            <w:rFonts w:eastAsia="Times New Roman" w:cs="Times New Roman"/>
            <w:b/>
            <w:bCs/>
            <w:i/>
            <w:iCs/>
            <w:szCs w:val="24"/>
            <w:lang w:eastAsia="es-CO"/>
          </w:rPr>
          <w:t>Artículo 276</w:t>
        </w:r>
      </w:hyperlink>
      <w:r w:rsidRPr="000C09C0">
        <w:rPr>
          <w:rFonts w:eastAsia="Times New Roman" w:cs="Times New Roman"/>
          <w:b/>
          <w:bCs/>
          <w:i/>
          <w:iCs/>
          <w:szCs w:val="24"/>
          <w:lang w:eastAsia="es-CO"/>
        </w:rPr>
        <w:t>. Valor de los Semovientes. </w:t>
      </w:r>
      <w:r w:rsidRPr="000C09C0">
        <w:rPr>
          <w:rFonts w:eastAsia="Times New Roman" w:cs="Times New Roman"/>
          <w:i/>
          <w:iCs/>
          <w:szCs w:val="24"/>
          <w:lang w:eastAsia="es-CO"/>
        </w:rPr>
        <w:t>En el negocio de ganadería, el valor de los semovientes es el del costo, el cual no podrá ser inferior al precio comercial en 31 de diciembre del respectivo ejercicio fiscal.</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En el caso del ganado bovino, este último valor será determinado anualmente por el Gobierno, por intermedio del Ministerio de Agricultura, teniendo en cuenta los precios de los mercados regionales.</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w:t>
      </w:r>
    </w:p>
    <w:p w:rsidR="000C09C0" w:rsidRPr="000C09C0" w:rsidRDefault="000C09C0" w:rsidP="000C09C0">
      <w:pPr>
        <w:spacing w:after="0" w:line="240" w:lineRule="auto"/>
        <w:ind w:left="284"/>
        <w:jc w:val="both"/>
        <w:rPr>
          <w:rFonts w:eastAsia="Times New Roman" w:cs="Times New Roman"/>
          <w:szCs w:val="24"/>
          <w:lang w:eastAsia="es-CO"/>
        </w:rPr>
      </w:pPr>
      <w:r w:rsidRPr="000C09C0">
        <w:rPr>
          <w:rFonts w:eastAsia="Times New Roman" w:cs="Times New Roman"/>
          <w:i/>
          <w:iCs/>
          <w:szCs w:val="24"/>
          <w:lang w:eastAsia="es-CO"/>
        </w:rPr>
        <w:t xml:space="preserve">Este valor hará parte del patrimonio base de la renta presuntiva, </w:t>
      </w:r>
      <w:proofErr w:type="spellStart"/>
      <w:r w:rsidRPr="000C09C0">
        <w:rPr>
          <w:rFonts w:eastAsia="Times New Roman" w:cs="Times New Roman"/>
          <w:i/>
          <w:iCs/>
          <w:szCs w:val="24"/>
          <w:lang w:eastAsia="es-CO"/>
        </w:rPr>
        <w:t>cualesquiera</w:t>
      </w:r>
      <w:proofErr w:type="spellEnd"/>
      <w:r w:rsidRPr="000C09C0">
        <w:rPr>
          <w:rFonts w:eastAsia="Times New Roman" w:cs="Times New Roman"/>
          <w:i/>
          <w:iCs/>
          <w:szCs w:val="24"/>
          <w:lang w:eastAsia="es-CO"/>
        </w:rPr>
        <w:t xml:space="preserve"> sea la edad, raza y sexo</w:t>
      </w:r>
      <w:r w:rsidRPr="000C09C0">
        <w:rPr>
          <w:rFonts w:eastAsia="Times New Roman" w:cs="Times New Roman"/>
          <w:szCs w:val="24"/>
          <w:lang w:eastAsia="es-CO"/>
        </w:rPr>
        <w:t>”.</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Que de acuerdo con lo establecido en el </w:t>
      </w:r>
      <w:r w:rsidRPr="000C09C0">
        <w:rPr>
          <w:rFonts w:eastAsia="Times New Roman" w:cs="Times New Roman"/>
          <w:i/>
          <w:iCs/>
          <w:szCs w:val="24"/>
          <w:lang w:eastAsia="es-CO"/>
        </w:rPr>
        <w:t>Concepto Técnico para Determinar los Valores del Ganado Bovino para los Efectos Tributarios de que trata el artículo 276 del Decreto número 624 de 1989 correspondientes a la Vigencia Fiscal del Año 2014</w:t>
      </w:r>
      <w:r w:rsidRPr="000C09C0">
        <w:rPr>
          <w:rFonts w:eastAsia="Times New Roman" w:cs="Times New Roman"/>
          <w:szCs w:val="24"/>
          <w:lang w:eastAsia="es-CO"/>
        </w:rPr>
        <w:t xml:space="preserve">, emitido por la Dirección de Cadenas Pecuarias, Pesqueras y Acuícolas del Ministerio de Agricultura y Desarrollo Rural en diciembre de 2014, las distintas variables encontradas en los mercados regionales </w:t>
      </w:r>
      <w:r w:rsidRPr="000C09C0">
        <w:rPr>
          <w:rFonts w:eastAsia="Times New Roman" w:cs="Times New Roman"/>
          <w:szCs w:val="24"/>
          <w:lang w:eastAsia="es-CO"/>
        </w:rPr>
        <w:lastRenderedPageBreak/>
        <w:t>del ganado bovino vivo en Colombia son significativas, e impiden la construcción de valores susceptibles de seguimiento y verificación, que puedan ser usados para los fines previstos en el </w:t>
      </w:r>
      <w:hyperlink r:id="rId8" w:tooltip="Estatuto Tributario CETA" w:history="1">
        <w:r w:rsidRPr="000C09C0">
          <w:rPr>
            <w:rFonts w:eastAsia="Times New Roman" w:cs="Times New Roman"/>
            <w:szCs w:val="24"/>
            <w:lang w:eastAsia="es-CO"/>
          </w:rPr>
          <w:t>artículo 276</w:t>
        </w:r>
      </w:hyperlink>
      <w:r w:rsidRPr="000C09C0">
        <w:rPr>
          <w:rFonts w:eastAsia="Times New Roman" w:cs="Times New Roman"/>
          <w:szCs w:val="24"/>
          <w:lang w:eastAsia="es-CO"/>
        </w:rPr>
        <w:t> del Estatuto Tributario.</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Que de acuerdo con lo anterior, para efectos de determinar el valor del ganado bovino correspondiente a la vigencia fiscal del año 2014, se tendrán como referencia aquellos valores establecidos para la vigencia del 2013 en las Resoluciones números 106 y 107 de 2014 de este Ministerio, ajustados con el Índice de Precios al Productor de la subclase CPC 02111 Ganado bovino vivo, establecido por el Departamento Administrativo Nacional de Estadística.</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En mérito de lo expuesto,</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RESUELVE:</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Artículo 1°.</w:t>
      </w:r>
      <w:r w:rsidRPr="000C09C0">
        <w:rPr>
          <w:rFonts w:eastAsia="Times New Roman" w:cs="Times New Roman"/>
          <w:szCs w:val="24"/>
          <w:lang w:eastAsia="es-CO"/>
        </w:rPr>
        <w:t> </w:t>
      </w:r>
      <w:r w:rsidRPr="000C09C0">
        <w:rPr>
          <w:rFonts w:eastAsia="Times New Roman" w:cs="Times New Roman"/>
          <w:i/>
          <w:iCs/>
          <w:szCs w:val="24"/>
          <w:lang w:eastAsia="es-CO"/>
        </w:rPr>
        <w:t>Objeto</w:t>
      </w:r>
      <w:r w:rsidRPr="000C09C0">
        <w:rPr>
          <w:rFonts w:eastAsia="Times New Roman" w:cs="Times New Roman"/>
          <w:szCs w:val="24"/>
          <w:lang w:eastAsia="es-CO"/>
        </w:rPr>
        <w:t>. El objeto de la presente resolución es determinar el valor mínimo del ganado bovino vivo para la vigencia fiscal 2014.</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Artículo 2°.</w:t>
      </w:r>
      <w:r w:rsidRPr="000C09C0">
        <w:rPr>
          <w:rFonts w:eastAsia="Times New Roman" w:cs="Times New Roman"/>
          <w:szCs w:val="24"/>
          <w:lang w:eastAsia="es-CO"/>
        </w:rPr>
        <w:t> </w:t>
      </w:r>
      <w:r w:rsidRPr="000C09C0">
        <w:rPr>
          <w:rFonts w:eastAsia="Times New Roman" w:cs="Times New Roman"/>
          <w:i/>
          <w:iCs/>
          <w:szCs w:val="24"/>
          <w:lang w:eastAsia="es-CO"/>
        </w:rPr>
        <w:t>Ámbito de Aplicación. </w:t>
      </w:r>
      <w:r w:rsidRPr="000C09C0">
        <w:rPr>
          <w:rFonts w:eastAsia="Times New Roman" w:cs="Times New Roman"/>
          <w:szCs w:val="24"/>
          <w:lang w:eastAsia="es-CO"/>
        </w:rPr>
        <w:t>La presente resolución se aplica a los siguientes tipos de ganado bovino vivo:</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 Ganado tipo comercial: el destinado a la cría, levante y ceba para consumo.</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Ganado tipo carne de selección: el destinado a la cría de reproductores puros.</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Ganado tipo leche de selección, correspondiente a las razas lecheras puras, y Ganado tipo leche mestizo, correspondiente al cruce de las razas lecheras cuyo principal propósito es la producción de leche.</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Para la determinación del valor del ganado bovino vivo tipo comercial, se establecen las siguientes zonas en el país por departamentos que servirán de fundamento para dicho fin:</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40"/>
        <w:gridCol w:w="7678"/>
      </w:tblGrid>
      <w:tr w:rsidR="000C09C0" w:rsidRPr="000C09C0" w:rsidTr="000C09C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ZONA I:</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Cesar, Magdalena, Atlántico, Bolívar, Sucre, Córdoba y Guajira.</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ZONA II: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Antioquia, Norte de Santander, Santander, Cundinamarca, Boyacá, Caldas, Quindío y Risaralda.</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ZONA III: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Tolima, Huila, Valle del Cauca, Cauca y Nariño.</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ZONA IV:</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Vichada, Guainía, Putumayo, Vaupés, Chocó, Guaviare, Amazonas y Archipiélago de San Andrés, Providencia y Santa Catalina.</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ZONA V:</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Casanare, Arauca, Meta y Caquetá.</w:t>
            </w:r>
          </w:p>
        </w:tc>
      </w:tr>
    </w:tbl>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Artículo 3°.</w:t>
      </w:r>
      <w:r w:rsidRPr="000C09C0">
        <w:rPr>
          <w:rFonts w:eastAsia="Times New Roman" w:cs="Times New Roman"/>
          <w:szCs w:val="24"/>
          <w:lang w:eastAsia="es-CO"/>
        </w:rPr>
        <w:t> </w:t>
      </w:r>
      <w:r w:rsidRPr="000C09C0">
        <w:rPr>
          <w:rFonts w:eastAsia="Times New Roman" w:cs="Times New Roman"/>
          <w:i/>
          <w:iCs/>
          <w:szCs w:val="24"/>
          <w:lang w:eastAsia="es-CO"/>
        </w:rPr>
        <w:t>Determinación del valor del ganado bovino vivo</w:t>
      </w:r>
      <w:r w:rsidRPr="000C09C0">
        <w:rPr>
          <w:rFonts w:eastAsia="Times New Roman" w:cs="Times New Roman"/>
          <w:szCs w:val="24"/>
          <w:lang w:eastAsia="es-CO"/>
        </w:rPr>
        <w:t xml:space="preserve">. Para efectos de la determinación del valor mínimo del ganado bovino vivo para la vigencia 2014, se tendrá en cuenta el Índice de Precios al Productor de la subclase CPC 02111 Ganado bovino vivo </w:t>
      </w:r>
      <w:r w:rsidRPr="000C09C0">
        <w:rPr>
          <w:rFonts w:eastAsia="Times New Roman" w:cs="Times New Roman"/>
          <w:szCs w:val="24"/>
          <w:lang w:eastAsia="es-CO"/>
        </w:rPr>
        <w:lastRenderedPageBreak/>
        <w:t>(1.40%) para el año 2014, estimado por el Departamento Administrativo Nacional de Estadística (DANE).</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Para cada una de las zonas con ganado de tipo carne comercial se fijan los siguientes valores mínimos, según las categorías, que se describen así:</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435"/>
        <w:gridCol w:w="1982"/>
        <w:gridCol w:w="1143"/>
      </w:tblGrid>
      <w:tr w:rsidR="000C09C0" w:rsidRPr="000C09C0" w:rsidTr="000C09C0">
        <w:trPr>
          <w:jc w:val="center"/>
        </w:trPr>
        <w:tc>
          <w:tcPr>
            <w:tcW w:w="0" w:type="auto"/>
            <w:gridSpan w:val="3"/>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ZONA I</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279.962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386.142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reproductores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572.975</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236.100</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300.433</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321.161</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para ceba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2 - 3 años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364.301</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3 - 4 años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456.749</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4 años en adelante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603.692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718.176</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para trabajo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645.318</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cebados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614.100</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228.752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277.191</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297.714</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363.294</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535.252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473.126</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360.258</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324.862</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320.801</w:t>
            </w:r>
          </w:p>
        </w:tc>
      </w:tr>
      <w:tr w:rsidR="000C09C0" w:rsidRPr="000C09C0" w:rsidTr="000C09C0">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329.493</w:t>
            </w:r>
          </w:p>
        </w:tc>
      </w:tr>
    </w:tbl>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435"/>
        <w:gridCol w:w="1982"/>
        <w:gridCol w:w="114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ZONA II</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286.639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373.363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564.529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181.852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224.230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320.226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2 - 3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360.594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3 - 4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503.339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4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595.433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672.100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lastRenderedPageBreak/>
              <w:t>Bueyes para trabajo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684.736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672.100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176.189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222.191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253.735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318.818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395.563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348.561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316.159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297.965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275.545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320.358</w:t>
            </w:r>
          </w:p>
        </w:tc>
      </w:tr>
    </w:tbl>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435"/>
        <w:gridCol w:w="1982"/>
        <w:gridCol w:w="114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ZONA III</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289.298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376.718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572.975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184.777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227.919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326.511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2 - 3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364.301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3 - 4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510.014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4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603.581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676.550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para trabajo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686.961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676.550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179.023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225.850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256.661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321.805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401.428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352.251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319.092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301.870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277.520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322.654</w:t>
            </w:r>
          </w:p>
        </w:tc>
      </w:tr>
    </w:tbl>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435"/>
        <w:gridCol w:w="1982"/>
        <w:gridCol w:w="142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ZONA IV</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105.232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135.156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lastRenderedPageBreak/>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212.662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73.664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84.953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95.581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2 - 3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128.035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3 - 4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202.715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4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256.056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266.714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para trabajo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288.073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266.701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74.409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84.185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115.764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148.960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158.267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137.158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133.502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124.994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121.952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170.707</w:t>
            </w:r>
          </w:p>
        </w:tc>
      </w:tr>
    </w:tbl>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435"/>
        <w:gridCol w:w="1982"/>
        <w:gridCol w:w="142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ZONA V</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159.125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226.031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375.397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92.380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113.959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Machos levante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124.317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2 - 3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156.131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3 - 4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291.436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4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374.712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312.252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para trabajo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395.518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Bueyes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312.252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79.569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92.395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102.665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124.562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195.565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con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159.068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144.104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133.807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lastRenderedPageBreak/>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132.054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197.762</w:t>
            </w:r>
          </w:p>
        </w:tc>
      </w:tr>
    </w:tbl>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Para ganados tipo carne de selección, leche de selección y leche mestizo, en todas las zonas, se fijan los siguientes valores mínimos, según las categorías que se describen, así:</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868"/>
        <w:gridCol w:w="1982"/>
        <w:gridCol w:w="142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TIPO CARNE DE SELECCIÓN</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347.260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488.505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732.762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962.040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cebados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766.969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6 - 12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295.651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420.944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610.378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726.138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de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801.895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de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728.033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723.890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643.630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356.191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413.646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 para reproducción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Hasta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250.944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 para reproducción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125.213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608.467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para sacrificio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681.788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Hasta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243.093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341.257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441.333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598.727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en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674.239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en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593.725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606.760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558.840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342.135</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383.520</w:t>
            </w:r>
          </w:p>
        </w:tc>
      </w:tr>
    </w:tbl>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868"/>
        <w:gridCol w:w="1982"/>
        <w:gridCol w:w="1423"/>
      </w:tblGrid>
      <w:tr w:rsidR="000C09C0" w:rsidRPr="000C09C0" w:rsidTr="000C09C0">
        <w:trPr>
          <w:jc w:val="center"/>
        </w:trPr>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TIPO LECHE MESTIZO</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CATEGORÍA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EDAD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center"/>
              <w:rPr>
                <w:rFonts w:eastAsia="Times New Roman" w:cs="Times New Roman"/>
                <w:szCs w:val="24"/>
                <w:lang w:eastAsia="es-CO"/>
              </w:rPr>
            </w:pPr>
            <w:r w:rsidRPr="000C09C0">
              <w:rPr>
                <w:rFonts w:eastAsia="Times New Roman" w:cs="Times New Roman"/>
                <w:b/>
                <w:bCs/>
                <w:szCs w:val="24"/>
                <w:lang w:eastAsia="es-CO"/>
              </w:rPr>
              <w:t>VALOR ($)</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Terneros para reproducción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Hasta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167.881</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Toretes para reproducción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328.202</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lastRenderedPageBreak/>
              <w:t>Toros reproductores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585.553</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Toros para sacrificio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648.844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Hasta 12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162.620</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Terneras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12 - 18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241.309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18 - 24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346.227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Novillas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24 - 30 meses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336.027</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en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483.878</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Vacas en producción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440.934</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3 – 8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410.239</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8 años 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347.125</w:t>
            </w:r>
          </w:p>
        </w:tc>
      </w:tr>
      <w:tr w:rsidR="000C09C0" w:rsidRPr="000C09C0" w:rsidTr="000C09C0">
        <w:trPr>
          <w:trHeight w:val="12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para ceba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329.736</w:t>
            </w:r>
          </w:p>
        </w:tc>
      </w:tr>
      <w:tr w:rsidR="000C09C0" w:rsidRPr="000C09C0" w:rsidTr="000C09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xml:space="preserve">Vacas </w:t>
            </w:r>
            <w:proofErr w:type="spellStart"/>
            <w:r w:rsidRPr="000C09C0">
              <w:rPr>
                <w:rFonts w:eastAsia="Times New Roman" w:cs="Times New Roman"/>
                <w:szCs w:val="24"/>
                <w:lang w:eastAsia="es-CO"/>
              </w:rPr>
              <w:t>horras</w:t>
            </w:r>
            <w:proofErr w:type="spellEnd"/>
            <w:r w:rsidRPr="000C09C0">
              <w:rPr>
                <w:rFonts w:eastAsia="Times New Roman" w:cs="Times New Roman"/>
                <w:szCs w:val="24"/>
                <w:lang w:eastAsia="es-CO"/>
              </w:rPr>
              <w:t xml:space="preserve"> cebadas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09C0" w:rsidRPr="000C09C0" w:rsidRDefault="000C09C0" w:rsidP="000C09C0">
            <w:pPr>
              <w:spacing w:after="0" w:line="240" w:lineRule="auto"/>
              <w:jc w:val="right"/>
              <w:rPr>
                <w:rFonts w:eastAsia="Times New Roman" w:cs="Times New Roman"/>
                <w:szCs w:val="24"/>
                <w:lang w:eastAsia="es-CO"/>
              </w:rPr>
            </w:pPr>
            <w:r w:rsidRPr="000C09C0">
              <w:rPr>
                <w:rFonts w:eastAsia="Times New Roman" w:cs="Times New Roman"/>
                <w:szCs w:val="24"/>
                <w:lang w:eastAsia="es-CO"/>
              </w:rPr>
              <w:t>372.294</w:t>
            </w:r>
          </w:p>
        </w:tc>
      </w:tr>
    </w:tbl>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Artículo 4°.</w:t>
      </w:r>
      <w:r w:rsidRPr="000C09C0">
        <w:rPr>
          <w:rFonts w:eastAsia="Times New Roman" w:cs="Times New Roman"/>
          <w:szCs w:val="24"/>
          <w:lang w:eastAsia="es-CO"/>
        </w:rPr>
        <w:t> </w:t>
      </w:r>
      <w:r w:rsidRPr="000C09C0">
        <w:rPr>
          <w:rFonts w:eastAsia="Times New Roman" w:cs="Times New Roman"/>
          <w:i/>
          <w:iCs/>
          <w:szCs w:val="24"/>
          <w:lang w:eastAsia="es-CO"/>
        </w:rPr>
        <w:t>Vigencia</w:t>
      </w:r>
      <w:r w:rsidRPr="000C09C0">
        <w:rPr>
          <w:rFonts w:eastAsia="Times New Roman" w:cs="Times New Roman"/>
          <w:szCs w:val="24"/>
          <w:lang w:eastAsia="es-CO"/>
        </w:rPr>
        <w:t>. La presente resolución rige a partir de la fecha de su publicación.</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Publíquese y cúmplase.</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Dada en Bogotá, D. C., a 28 de enero de 2015.</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b/>
          <w:bCs/>
          <w:szCs w:val="24"/>
          <w:lang w:eastAsia="es-CO"/>
        </w:rPr>
        <w:t>El Ministro de Agricultura y Desarrollo Rural,</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i/>
          <w:iCs/>
          <w:szCs w:val="24"/>
          <w:lang w:eastAsia="es-CO"/>
        </w:rPr>
        <w:t xml:space="preserve">Aurelio </w:t>
      </w:r>
      <w:proofErr w:type="spellStart"/>
      <w:r w:rsidRPr="000C09C0">
        <w:rPr>
          <w:rFonts w:eastAsia="Times New Roman" w:cs="Times New Roman"/>
          <w:i/>
          <w:iCs/>
          <w:szCs w:val="24"/>
          <w:lang w:eastAsia="es-CO"/>
        </w:rPr>
        <w:t>Iragorri</w:t>
      </w:r>
      <w:proofErr w:type="spellEnd"/>
      <w:r w:rsidRPr="000C09C0">
        <w:rPr>
          <w:rFonts w:eastAsia="Times New Roman" w:cs="Times New Roman"/>
          <w:i/>
          <w:iCs/>
          <w:szCs w:val="24"/>
          <w:lang w:eastAsia="es-CO"/>
        </w:rPr>
        <w:t xml:space="preserve"> Valencia.</w:t>
      </w:r>
    </w:p>
    <w:p w:rsidR="000C09C0" w:rsidRPr="000C09C0" w:rsidRDefault="000C09C0" w:rsidP="000C09C0">
      <w:pPr>
        <w:spacing w:after="0" w:line="240" w:lineRule="auto"/>
        <w:jc w:val="both"/>
        <w:rPr>
          <w:rFonts w:eastAsia="Times New Roman" w:cs="Times New Roman"/>
          <w:szCs w:val="24"/>
          <w:lang w:eastAsia="es-CO"/>
        </w:rPr>
      </w:pPr>
      <w:r>
        <w:rPr>
          <w:rFonts w:eastAsia="Times New Roman" w:cs="Times New Roman"/>
          <w:i/>
          <w:iCs/>
          <w:szCs w:val="24"/>
          <w:lang w:eastAsia="es-CO"/>
        </w:rPr>
        <w:t>_________________________________________________________________________</w:t>
      </w:r>
      <w:bookmarkStart w:id="0" w:name="_GoBack"/>
      <w:bookmarkEnd w:id="0"/>
      <w:r w:rsidRPr="000C09C0">
        <w:rPr>
          <w:rFonts w:eastAsia="Times New Roman" w:cs="Times New Roman"/>
          <w:i/>
          <w:iCs/>
          <w:szCs w:val="24"/>
          <w:lang w:eastAsia="es-CO"/>
        </w:rPr>
        <w:t> </w:t>
      </w:r>
    </w:p>
    <w:p w:rsidR="000C09C0" w:rsidRPr="000C09C0" w:rsidRDefault="000C09C0" w:rsidP="000C09C0">
      <w:pPr>
        <w:spacing w:after="0" w:line="240" w:lineRule="auto"/>
        <w:jc w:val="both"/>
        <w:rPr>
          <w:rFonts w:eastAsia="Times New Roman" w:cs="Times New Roman"/>
          <w:szCs w:val="24"/>
          <w:lang w:eastAsia="es-CO"/>
        </w:rPr>
      </w:pPr>
      <w:r w:rsidRPr="000C09C0">
        <w:rPr>
          <w:rFonts w:eastAsia="Times New Roman" w:cs="Times New Roman"/>
          <w:i/>
          <w:iCs/>
          <w:szCs w:val="24"/>
          <w:lang w:eastAsia="es-CO"/>
        </w:rPr>
        <w:t> </w:t>
      </w:r>
    </w:p>
    <w:sectPr w:rsidR="000C09C0" w:rsidRPr="000C09C0" w:rsidSect="000C09C0">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C0"/>
    <w:rsid w:val="000C09C0"/>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71036-A344-4890-88CD-9BB73FFE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C09C0"/>
  </w:style>
  <w:style w:type="paragraph" w:customStyle="1" w:styleId="pa4">
    <w:name w:val="pa4"/>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5">
    <w:name w:val="pa5"/>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6">
    <w:name w:val="pa6"/>
    <w:basedOn w:val="Normal"/>
    <w:rsid w:val="000C09C0"/>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0C09C0"/>
    <w:rPr>
      <w:color w:val="0000FF"/>
      <w:u w:val="single"/>
    </w:rPr>
  </w:style>
  <w:style w:type="character" w:styleId="Hipervnculovisitado">
    <w:name w:val="FollowedHyperlink"/>
    <w:basedOn w:val="Fuentedeprrafopredeter"/>
    <w:uiPriority w:val="99"/>
    <w:semiHidden/>
    <w:unhideWhenUsed/>
    <w:rsid w:val="000C09C0"/>
    <w:rPr>
      <w:color w:val="800080"/>
      <w:u w:val="single"/>
    </w:rPr>
  </w:style>
  <w:style w:type="character" w:customStyle="1" w:styleId="apple-converted-space">
    <w:name w:val="apple-converted-space"/>
    <w:basedOn w:val="Fuentedeprrafopredeter"/>
    <w:rsid w:val="000C09C0"/>
  </w:style>
  <w:style w:type="paragraph" w:customStyle="1" w:styleId="pa29">
    <w:name w:val="pa29"/>
    <w:basedOn w:val="Normal"/>
    <w:rsid w:val="000C09C0"/>
    <w:pPr>
      <w:spacing w:before="100" w:beforeAutospacing="1" w:after="100" w:afterAutospacing="1" w:line="240" w:lineRule="auto"/>
    </w:pPr>
    <w:rPr>
      <w:rFonts w:eastAsia="Times New Roman" w:cs="Times New Roman"/>
      <w:szCs w:val="24"/>
      <w:lang w:eastAsia="es-CO"/>
    </w:rPr>
  </w:style>
  <w:style w:type="character" w:customStyle="1" w:styleId="a10">
    <w:name w:val="a10"/>
    <w:basedOn w:val="Fuentedeprrafopredeter"/>
    <w:rsid w:val="000C09C0"/>
  </w:style>
  <w:style w:type="paragraph" w:customStyle="1" w:styleId="pa35">
    <w:name w:val="pa35"/>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36">
    <w:name w:val="pa36"/>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34">
    <w:name w:val="pa34"/>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38">
    <w:name w:val="pa38"/>
    <w:basedOn w:val="Normal"/>
    <w:rsid w:val="000C09C0"/>
    <w:pPr>
      <w:spacing w:before="100" w:beforeAutospacing="1" w:after="100" w:afterAutospacing="1" w:line="240" w:lineRule="auto"/>
    </w:pPr>
    <w:rPr>
      <w:rFonts w:eastAsia="Times New Roman" w:cs="Times New Roman"/>
      <w:szCs w:val="24"/>
      <w:lang w:eastAsia="es-CO"/>
    </w:rPr>
  </w:style>
  <w:style w:type="paragraph" w:customStyle="1" w:styleId="pa37">
    <w:name w:val="pa37"/>
    <w:basedOn w:val="Normal"/>
    <w:rsid w:val="000C09C0"/>
    <w:pPr>
      <w:spacing w:before="100" w:beforeAutospacing="1" w:after="100" w:afterAutospacing="1" w:line="240" w:lineRule="auto"/>
    </w:pPr>
    <w:rPr>
      <w:rFonts w:eastAsia="Times New Roman" w:cs="Times New Roman"/>
      <w:szCs w:val="24"/>
      <w:lang w:eastAsia="es-CO"/>
    </w:rPr>
  </w:style>
  <w:style w:type="character" w:styleId="Refdenotaalpie">
    <w:name w:val="footnote reference"/>
    <w:basedOn w:val="Fuentedeprrafopredeter"/>
    <w:uiPriority w:val="99"/>
    <w:semiHidden/>
    <w:unhideWhenUsed/>
    <w:rsid w:val="000C09C0"/>
  </w:style>
  <w:style w:type="paragraph" w:customStyle="1" w:styleId="pa8">
    <w:name w:val="pa8"/>
    <w:basedOn w:val="Normal"/>
    <w:rsid w:val="000C09C0"/>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0C09C0"/>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0C09C0"/>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474">
      <w:bodyDiv w:val="1"/>
      <w:marLeft w:val="0"/>
      <w:marRight w:val="0"/>
      <w:marTop w:val="0"/>
      <w:marBottom w:val="0"/>
      <w:divBdr>
        <w:top w:val="none" w:sz="0" w:space="0" w:color="auto"/>
        <w:left w:val="none" w:sz="0" w:space="0" w:color="auto"/>
        <w:bottom w:val="none" w:sz="0" w:space="0" w:color="auto"/>
        <w:right w:val="none" w:sz="0" w:space="0" w:color="auto"/>
      </w:divBdr>
      <w:divsChild>
        <w:div w:id="187152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53"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3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353" TargetMode="External"/><Relationship Id="rId5" Type="http://schemas.openxmlformats.org/officeDocument/2006/relationships/hyperlink" Target="http://www.ceta.org.co/html/vista_de_un_articulo.asp?Norma=140" TargetMode="External"/><Relationship Id="rId10" Type="http://schemas.openxmlformats.org/officeDocument/2006/relationships/theme" Target="theme/theme1.xml"/><Relationship Id="rId4" Type="http://schemas.openxmlformats.org/officeDocument/2006/relationships/hyperlink" Target="http://www.ceta.org.co/html/vista_de_un_articulo.asp?Norma=13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1797</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2015-02-17T13:09:00Z</dcterms:created>
  <dcterms:modified xsi:type="dcterms:W3CDTF">2015-02-17T13:15:00Z</dcterms:modified>
</cp:coreProperties>
</file>